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stictophylla</w:t>
      </w:r>
      <w:r>
        <w:t xml:space="preserve"> Court ex Maslin &amp; D.J.Murphy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27(2):213-216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"Dandenong Range east of Melbourne, on Belgrave–Gembrook road due NE of Belgrave township just N of Black Hill road, Victoria, 27.viii.1985, B.R. Maslin 5868; holotype: MEL 712039; isotypes: CANB, K, NSW, NY, PERTH."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</w:t>
      </w:r>
      <w:r w:rsidR="00041308">
        <w:t xml:space="preserve"> var.</w:t>
      </w:r>
      <w:r w:rsidR="00041308" w:rsidRPr="00815E7D">
        <w:rPr>
          <w:i/>
        </w:rPr>
        <w:t xml:space="preserve"> elongata</w:t>
      </w:r>
      <w:r>
        <w:t xml:space="preserve"> Guilf.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(Dandenong Range variant)</w:t>
      </w:r>
      <w:r>
        <w:t xml:space="preserve"> ms</w:t>
      </w:r>
      <w:r>
        <w:t xml:space="preserve"> sens. T.J.Entwisle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 second variant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leprosa</w:t>
      </w:r>
      <w:r w:rsidR="00041308">
        <w:t xml:space="preserve"> var.</w:t>
      </w:r>
      <w:r w:rsidR="00041308" w:rsidRPr="00815E7D">
        <w:rPr>
          <w:i/>
        </w:rPr>
        <w:t xml:space="preserve"> reclinata (B.R. Maslin 5868)</w:t>
      </w:r>
      <w:r>
        <w:t xml:space="preserve"> ms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Guilf.</w:t>
      </w:r>
      <w:r w:rsidR="00780DEE" w:rsidRPr="00780DEE">
        <w:rPr>
          <w:i/>
        </w:rPr>
        <w:t xml:space="preserve"> Austral. Pl.</w:t>
      </w:r>
      <w:proofErr w:type="spellStart"/>
      <w:r w:rsidR="00780DEE">
        <w:t xml:space="preserve"> :34, 403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Court ex Maslin &amp; D.J.Murphy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inval., description not diagnostic.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(Dandenong Range variant)</w:t>
      </w:r>
      <w:r w:rsidR="00AD1615">
        <w:t xml:space="preserve"> ms</w:t>
      </w:r>
      <w:r>
        <w:t xml:space="preserve"> sens. T.J.Entwisle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3:620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r>
        <w:t xml:space="preserve"> </w:t>
      </w:r>
      <w:r>
        <w:t xml:space="preserve"> Court ex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 second variant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11A:599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r>
        <w:t xml:space="preserve"> Court ex Maslin &amp; D.J.Murphy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leprosa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reclinata (B.R. Maslin 5868)</w:t>
      </w:r>
      <w:proofErr w:type="spellEnd"/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Australian Plant Census CHAH</w:t>
      </w:r>
      <w:proofErr w:type="spellStart"/>
      <w:r w:rsidR="00780DEE">
        <w:t xml:space="preserve"> :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stictophylla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