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xanthina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Swan River, Drummond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J.Drummond 102 (K)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xanthinum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xanthinum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xanthina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xanthina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xanthina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Drummond 1: 283 (BM, K, OXF, P) and Preiss 928 (FI, GOET, HBG, K, LUND, MEL, MO, NY, P, STRAS).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