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Contr. Queensland Herb. 15: 17, 1974): Point Pearce, Victoria River, N.T., Dec. 1855, F. Mueller 100 (K); isolectotype: MEL, NSW, PERTH</w:t>
      </w:r>
      <w:proofErr w:type="spellEnd"/>
      <w:r w:rsidRPr="009A6983">
        <w:rPr>
          <w:b/>
        </w:rPr>
        <w:t xml:space="preserve"> Source:</w:t>
      </w:r>
      <w:r>
        <w:t xml:space="preserve"> McDonald (2003: 154)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(var.extenta, var.kulparn, var.pilbarensis, var.tumida)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tumidum</w:t>
      </w:r>
      <w:r>
        <w:t xml:space="preserve"> (F.Muell.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retinervis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tumida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tumidum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retinervis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McDonald (2003: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Isle Lacrosse, A. Cunningham [paralecto, fide G. Bentham, Fl. Austral. 2: 409 &amp; 410, 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tumida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185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retinervis.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