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pentadenia</w:t>
      </w:r>
      <w:r>
        <w:t xml:space="preserve"> Lindl.</w:t>
      </w:r>
      <w:r w:rsidR="00780DEE" w:rsidRPr="00780DEE">
        <w:rPr>
          <w:i/>
        </w:rPr>
        <w:t xml:space="preserve"> Edwards's Bot. Reg.</w:t>
      </w:r>
      <w:proofErr w:type="spellStart"/>
      <w:r w:rsidR="00780DEE">
        <w:t xml:space="preserve"> 18: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"Collected for Mr. Knight, on the south-west coast of New Holland. It is a very elegant greenhouse plant, flowering in April"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 B.R. Maslin, Nuytsia 1: 444, 1975): New Holland [Australia], W. Baxter s.n. (CGE)</w:t>
      </w:r>
      <w:proofErr w:type="spellEnd"/>
      <w:r w:rsidRPr="009A6983">
        <w:rPr>
          <w:b/>
        </w:rPr>
        <w:t xml:space="preserve"> Source:</w:t>
      </w:r>
      <w:r>
        <w:t xml:space="preserve"> Reid et al. (2009: 246)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(subsp.pentadenia, subsp.syntoma)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pentadenium</w:t>
      </w:r>
      <w:r>
        <w:t xml:space="preserve"> (Lindl.)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pentadenium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pentadenia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pentadenia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