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murrayana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, fide L. Pedley 1980: 284): Subtropical New Holland [near St George, Qld], 17 Nov. 1846, T.L. Mitchell '444' (K). Remaining syntype: Cooper Creek, Qld/S.A., J. Murray s.n. (MEL)</w:t>
      </w:r>
      <w:proofErr w:type="spellEnd"/>
      <w:r w:rsidRPr="009A6983">
        <w:rPr>
          <w:b/>
        </w:rPr>
        <w:t xml:space="preserve"> Source:</w:t>
      </w:r>
      <w:r>
        <w:t xml:space="preserve"> Fl. Australia 11A: 371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murrayanum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frumentacea</w:t>
      </w:r>
      <w:r>
        <w:t xml:space="preserve"> Tate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frumentacea</w:t>
      </w:r>
      <w:r>
        <w:t xml:space="preserve"> Tate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leptopetala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murrayanum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murrayana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frumentacea</w:t>
      </w:r>
      <w:r>
        <w:t xml:space="preserve"> Tate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19:81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frumentacea</w:t>
      </w:r>
      <w:r>
        <w:t xml:space="preserve"> Tate</w:t>
      </w:r>
      <w:r w:rsidR="00780DEE" w:rsidRPr="00780DEE">
        <w:rPr>
          <w:i/>
        </w:rPr>
        <w:t xml:space="preserve"> Rep. Horn Exped. Central Australia</w:t>
      </w:r>
      <w:proofErr w:type="spellStart"/>
      <w:r w:rsidR="00780DEE">
        <w:t xml:space="preserve"> 3:156, 187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Flooded ground, Hugh River, N.T., 23 July 1894, [R. Tate s.n.] (AD). A note by C.M. Eardley on this sheet: ‘On 23/7/94 the Horn Expedn. Camped at Alice Well, lat. 24°50'S, long. 134°15'E’</w:t>
      </w:r>
      <w:proofErr w:type="spellEnd"/>
      <w:r w:rsidRPr="009A6983">
        <w:rPr>
          <w:b/>
        </w:rPr>
        <w:t xml:space="preserve"> Source:</w:t>
      </w:r>
      <w:r>
        <w:t xml:space="preserve"> Fl. Australia 11A: 371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leptopetala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Murchison R., A. Oldfield; F. Mueller, Iconogr. Austral. Acacia dec. 5 (1887); J.H. Maiden, J. &amp; Proc. Roy. Soc. New South Wales 49: 495 (1916).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