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lateriticola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1:433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13 km S of Donnybrook on South Western Hwy, W.A., 18 Sept. 1972, B.R. Maslin 2841 (PERTH); isotypes: CANB, K, MEL, NY</w:t>
      </w:r>
      <w:proofErr w:type="spellEnd"/>
      <w:r w:rsidRPr="009A6983">
        <w:rPr>
          <w:b/>
        </w:rPr>
        <w:t xml:space="preserve"> Source:</w:t>
      </w:r>
      <w:r>
        <w:t xml:space="preserve"> Fl. Australia 11B: 410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1 infraspecific taxa (var.Glabrous variant (B.R. Maslin 6765))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lateriticola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 w:rsidR="00041308">
        <w:t xml:space="preserve"> var.</w:t>
      </w:r>
      <w:r w:rsidR="00041308" w:rsidRPr="00815E7D">
        <w:rPr>
          <w:i/>
        </w:rPr>
        <w:t xml:space="preserve"> borealis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strigosa</w:t>
      </w:r>
      <w:r w:rsidR="00041308">
        <w:t xml:space="preserve"> f.</w:t>
      </w:r>
      <w:r w:rsidR="00041308" w:rsidRPr="00815E7D">
        <w:rPr>
          <w:i/>
        </w:rPr>
        <w:t xml:space="preserve"> genuina</w:t>
      </w:r>
      <w:r>
        <w:t xml:space="preserve"> Meisn.</w:t>
      </w:r>
      <w:r>
        <w:t xml:space="preserve"> (1848)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cycnorum</w:t>
      </w:r>
      <w:r>
        <w:t xml:space="preserve"> sens. Hook.</w:t>
      </w:r>
      <w:r>
        <w:t xml:space="preserve"> (1852)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obscura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lateriticola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lateriticola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35:312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Serpentine, W.A., 21 June 1901, L. Diels 3159 (PERTH,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410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strigosa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genuina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2:205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forma).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cycnorum</w:t>
      </w:r>
      <w:r>
        <w:t xml:space="preserve"> sens. Hook.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78: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obscura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lateriticola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J. Drummond coll. 2, no. 153 &amp; Gordon River, A. Oldfield s.n.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