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beauverdiana</w:t>
      </w:r>
      <w:r>
        <w:t xml:space="preserve"> Ewart &amp; Sharman</w:t>
      </w:r>
      <w:r w:rsidR="00780DEE" w:rsidRPr="00780DEE">
        <w:rPr>
          <w:i/>
        </w:rPr>
        <w:t xml:space="preserve"> Proc. Roy. Soc. Victoria, n. ser.</w:t>
      </w:r>
      <w:proofErr w:type="spellStart"/>
      <w:r w:rsidR="00780DEE">
        <w:t xml:space="preserve"> 28:230</w:t>
      </w:r>
      <w:proofErr w:type="spellEnd"/>
      <w:r w:rsidR="00780DEE">
        <w:t xml:space="preserve"> (1916)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Cowcowing, W.A., Aug. 1904, M. Koch 1289 (MEL); isotypes: E, NSW, P, PERTH</w:t>
      </w:r>
      <w:proofErr w:type="spellEnd"/>
      <w:r w:rsidRPr="009A6983">
        <w:rPr>
          <w:b/>
        </w:rPr>
        <w:t xml:space="preserve"> Source:</w:t>
      </w:r>
      <w:r>
        <w:t xml:space="preserve"> Fl. Australia 11B: 333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beauverdianum</w:t>
      </w:r>
      <w:r>
        <w:t xml:space="preserve"> (Ewart &amp; Sharman)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beauverdianum</w:t>
      </w:r>
      <w:r>
        <w:t xml:space="preserve"> (Ewart &amp; Sharman)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beauverdiana</w:t>
      </w:r>
      <w:proofErr w:type="spellEnd"/>
      <w:r>
        <w:t xml:space="preserve"> Ewart &amp; Sharman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beauverdiana</w:t>
      </w:r>
      <w:r>
        <w:t xml:space="preserve"> Ewart &amp; Sharman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