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adoxa</w:t>
      </w:r>
      <w:r>
        <w:t xml:space="preserve"> Pedley</w:t>
      </w:r>
      <w:r w:rsidR="00780DEE" w:rsidRPr="00780DEE">
        <w:rPr>
          <w:i/>
        </w:rPr>
        <w:t xml:space="preserve"> Contr. Queensland Herb.</w:t>
      </w:r>
      <w:proofErr w:type="spellStart"/>
      <w:r w:rsidR="00780DEE">
        <w:t xml:space="preserve"> 11:6</w:t>
      </w:r>
      <w:proofErr w:type="spellEnd"/>
      <w:r w:rsidR="00780DEE">
        <w:t xml:space="preserve"> (1972)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27 miles [c. 43 km] S of Wave Hill Stn, N.T., 11 July 1956, G.M. Chippendale 2191 (BRI); isotypes: CANB, DNA, K n.v., MEL, PERTH</w:t>
      </w:r>
      <w:proofErr w:type="spellEnd"/>
      <w:r w:rsidRPr="009A6983">
        <w:rPr>
          <w:b/>
        </w:rPr>
        <w:t xml:space="preserve"> Source:</w:t>
      </w:r>
      <w:r>
        <w:t xml:space="preserve"> Fl. Australia 11B: 389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(var.adoxa, var.subglabra)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adoxum</w:t>
      </w:r>
      <w:r>
        <w:t xml:space="preserve"> (Pedley)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adoxum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adoxa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adoxa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