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pallidifolia</w:t>
      </w:r>
      <w:r>
        <w:t xml:space="preserve"> (Tindale)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11(2):236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Kodela &amp; Wilson (2006: 240) for discussion of typification of the name Acacia pallida F. Muell.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pallidifolia</w:t>
      </w:r>
      <w:r>
        <w:t xml:space="preserve"> Tindale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pallida</w:t>
      </w:r>
      <w:r>
        <w:t xml:space="preserve"> F.Muell.</w:t>
      </w:r>
      <w:r>
        <w:t xml:space="preserve"> (1859)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pallidifolia</w:t>
      </w:r>
      <w:r>
        <w:t xml:space="preserve"> Tindale</w:t>
      </w:r>
      <w:r>
        <w:t xml:space="preserve"> (1975)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turbata</w:t>
      </w:r>
      <w:r>
        <w:t xml:space="preserve"> Pedley</w:t>
      </w:r>
      <w:r>
        <w:t xml:space="preserve"> (2002)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turbata</w:t>
      </w:r>
      <w:r>
        <w:t xml:space="preserve"> (Pedley) Pedley</w:t>
      </w:r>
      <w:r>
        <w:t xml:space="preserve"> (2014)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pallida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3:147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pallidifolia</w:t>
      </w:r>
      <w:proofErr w:type="spellEnd"/>
      <w:r>
        <w:t xml:space="preserve"> (Tindale)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(selected by Tindale 1995: 82): Northern Territory: Fitzmaurice River, 'arbuscula in campis apricis', F. Mueller 76, 75, Oct. 1855 (MEL); isolectotype: NSW. Remaining syntype: McAdam Range, F. Mueller 75, Oct. 1855 (K, PERTH)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Sensu lectotypico; nom. illeg., non Willd. (1806). See Kodela &amp; Wilson (2006: 240) for discussion of typification of this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pallidifolia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1:82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pallidifolia</w:t>
      </w:r>
      <w:proofErr w:type="spellEnd"/>
      <w:r>
        <w:t xml:space="preserve"> (Tindale)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pallida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turbata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6:180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pallidifolia</w:t>
      </w:r>
      <w:proofErr w:type="spellEnd"/>
      <w:r>
        <w:t xml:space="preserve"> (Tindale)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Northern Territory: E of Mary River, S.T. Blake 17095, 29 Sep 1946 (BRI); isotype: NSW</w:t>
      </w:r>
      <w:proofErr w:type="spellEnd"/>
      <w:r w:rsidRPr="009A6983">
        <w:rPr>
          <w:b/>
        </w:rPr>
        <w:t xml:space="preserve"> Source:</w:t>
      </w:r>
      <w:r>
        <w:t xml:space="preserve"> Kodela &amp; Wilson (2006: 236)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turbata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9(2):314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P. Kodela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pallidifolia</w:t>
      </w:r>
      <w:proofErr w:type="spellEnd"/>
      <w:r>
        <w:t xml:space="preserve"> (Tindale)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turbata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