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ruscifolia</w:t>
      </w:r>
      <w:proofErr w:type="spellEnd"/>
      <w:r>
        <w:t xml:space="preserve"> (A.Cunn. ex G.Don) Court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11B:492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ruscifolia</w:t>
      </w:r>
      <w:r>
        <w:t xml:space="preserve"> A.Cunn. ex G.Don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ruscifolia</w:t>
      </w:r>
      <w:r>
        <w:t xml:space="preserve"> A.Cunn. ex G.Don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verticillatum</w:t>
      </w:r>
      <w:r w:rsidR="00041308">
        <w:t xml:space="preserve"> subsp.</w:t>
      </w:r>
      <w:r w:rsidR="00041308" w:rsidRPr="00815E7D">
        <w:rPr>
          <w:i/>
        </w:rPr>
        <w:t xml:space="preserve"> ruscifolium</w:t>
      </w:r>
      <w:r>
        <w:t xml:space="preserve"> (A.Cunn. ex G.Don)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ruscifolia</w:t>
      </w:r>
      <w:r>
        <w:t xml:space="preserve"> A.Cunn.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moesta</w:t>
      </w:r>
      <w:r>
        <w:t xml:space="preserve"> Lindl.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verticillata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Benth.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verticillatum</w:t>
      </w:r>
      <w:r w:rsidR="00041308">
        <w:t xml:space="preserve"> var.</w:t>
      </w:r>
      <w:r w:rsidR="00041308" w:rsidRPr="00815E7D">
        <w:rPr>
          <w:i/>
        </w:rPr>
        <w:t xml:space="preserve"> latifolium</w:t>
      </w:r>
      <w:r>
        <w:t xml:space="preserve">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ruscifolia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(A.Cunn. ex G.Don)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New Holland [Australia], s.d., A. Cunningham s.n (n.v.)</w:t>
      </w:r>
      <w:proofErr w:type="spellEnd"/>
      <w:r w:rsidRPr="009A6983">
        <w:rPr>
          <w:b/>
        </w:rPr>
        <w:t xml:space="preserve"> Source:</w:t>
      </w:r>
      <w:r>
        <w:t xml:space="preserve"> Fl. Australia 11B: 384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ruscifolium</w:t>
      </w:r>
      <w:proofErr w:type="spellEnd"/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ruscifolia</w:t>
      </w:r>
      <w:proofErr w:type="spellEnd"/>
      <w:r>
        <w:t xml:space="preserve"> (A.Cunn. ex G.Don)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ruscifolia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ruscifolia</w:t>
      </w:r>
      <w:r>
        <w:t xml:space="preserve"> A.Cunn.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59: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(A.Cunn. ex G.Don)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Royal Botanic Gardens, Kew, from seed from Macquarie Harbour, Van Diemens Land [Tas.], Jan. 1819, A. Cunningham s.n.; n.v.</w:t>
      </w:r>
      <w:proofErr w:type="spellEnd"/>
      <w:r w:rsidRPr="009A6983">
        <w:rPr>
          <w:b/>
        </w:rPr>
        <w:t xml:space="preserve"> Source:</w:t>
      </w:r>
      <w:r>
        <w:t xml:space="preserve"> Fl. Australia 11B: 384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non A. Cunn. ex G. Don (1832). Fl. Australia 11B: 384 (2001), by accepting the priority of A. ruscifolia A.Cunn. ex Don must have accepted that it was published earlier in the year.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moesta</w:t>
      </w:r>
      <w:r>
        <w:t xml:space="preserve">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32: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(A.Cunn. ex G.Don)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492, 2001): illustration at Edward's Bot. Reg. 1846: t. 67 (1846)</w:t>
      </w:r>
      <w:proofErr w:type="spellEnd"/>
      <w:r w:rsidRPr="009A6983">
        <w:rPr>
          <w:b/>
        </w:rPr>
        <w:t xml:space="preserve"> Source:</w:t>
      </w:r>
      <w:r>
        <w:t xml:space="preserve"> Fl. Australia 11B: 384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ruscifolia</w:t>
      </w:r>
      <w:proofErr w:type="spellEnd"/>
      <w:r>
        <w:t xml:space="preserve"> (A.Cunn. ex G.Don)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ruscifolia</w:t>
      </w:r>
      <w:proofErr w:type="spellEnd"/>
      <w:r>
        <w:t xml:space="preserve"> (A.Cunn. ex G.Don)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(cf. Article 43.1, ICBN, 1988).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