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quadrilateralis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[N.S.W.], F.W. Sieber 442 (G-DC); isotypes: BM, K, MEL n.v., NSW, NY</w:t>
      </w:r>
      <w:proofErr w:type="spellEnd"/>
      <w:r w:rsidRPr="009A6983">
        <w:rPr>
          <w:b/>
        </w:rPr>
        <w:t xml:space="preserve"> Source:</w:t>
      </w:r>
      <w:r>
        <w:t xml:space="preserve"> Fl. Australia 11A: 370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Pedley (1975: 21) for discussion of erroneous record of this species from Timor.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quadrilaterale</w:t>
      </w:r>
      <w:r>
        <w:t xml:space="preserve"> (DC.)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>
        <w:t xml:space="preserve"> Sieber ex Steud.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pugioniformis</w:t>
      </w:r>
      <w:r>
        <w:t xml:space="preserve"> sens. H.L.Wendl.</w:t>
      </w:r>
      <w:r>
        <w:t xml:space="preserve"> (1820)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quadrilaterale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quadrilateralis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quadrilateralis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r>
        <w:t xml:space="preserve"> Sieber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quadrilateralis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Steudel's text reads "calamifolia Sieb. quadrilateralis". The apparent source of this entry is Don's Gen. Hist. 2: 404 (1832) where, under A. quadrilateralis DC. Don lists "A. calamifolia Sieb. pl. exsic. nov. holl. no. 442.".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pugioniformis</w:t>
      </w:r>
      <w:r>
        <w:t xml:space="preserve"> sens.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:5, 38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quadrilateralis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fide A.B. Court, Muelleria 2: 156, 158 (1972).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