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praetermissa</w:t>
      </w:r>
      <w:r>
        <w:t xml:space="preserve"> Tindale</w:t>
      </w:r>
      <w:r w:rsidR="00780DEE" w:rsidRPr="00780DEE">
        <w:rPr>
          <w:i/>
        </w:rPr>
        <w:t xml:space="preserve"> Telopea</w:t>
      </w:r>
      <w:proofErr w:type="spellStart"/>
      <w:r w:rsidR="00780DEE">
        <w:t xml:space="preserve"> 2:113</w:t>
      </w:r>
      <w:proofErr w:type="spellEnd"/>
      <w:r w:rsidR="00780DEE">
        <w:t xml:space="preserve"> (1980)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1.5 km N of Emerald Springs Roadhouse, Stuart Hwy, N.T., M.D. Tindale 6102 &amp; C. Dunlop (NSW); isotypes: BRI, CANB, DNA, K, PERTH, US</w:t>
      </w:r>
      <w:proofErr w:type="spellEnd"/>
      <w:r w:rsidRPr="009A6983">
        <w:rPr>
          <w:b/>
        </w:rPr>
        <w:t xml:space="preserve"> Source:</w:t>
      </w:r>
      <w:r>
        <w:t xml:space="preserve"> Fl. Australia 11B: 252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Northern Territory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praetermissum</w:t>
      </w:r>
      <w:r>
        <w:t xml:space="preserve"> (Tindale)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praetermissum</w:t>
      </w:r>
      <w:r>
        <w:t xml:space="preserve"> (Tindale)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6(3):481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praetermissa</w:t>
      </w:r>
      <w:proofErr w:type="spellEnd"/>
      <w:r>
        <w:t xml:space="preserve"> Tindale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praetermissa</w:t>
      </w:r>
      <w:r>
        <w:t xml:space="preserve"> Tindale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