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praemorsa</w:t>
      </w:r>
      <w:r>
        <w:t xml:space="preserve"> P.Lang &amp; Maslin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13:118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c. 3 km W of Glenville HS (Yabmana), Eyre Penin., S.A., 27 Dec. 1989, P.J.  Lang 1824 (AD); isotypes: CANB, K, MEL, NSW, PERTH</w:t>
      </w:r>
      <w:proofErr w:type="spellEnd"/>
      <w:r w:rsidRPr="009A6983">
        <w:rPr>
          <w:b/>
        </w:rPr>
        <w:t xml:space="preserve"> Source:</w:t>
      </w:r>
      <w:r>
        <w:t xml:space="preserve"> Fl. Australia 11A: 590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praemorsum</w:t>
      </w:r>
      <w:r>
        <w:t xml:space="preserve"> (P.J.Lang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praemorsum</w:t>
      </w:r>
      <w:r>
        <w:t xml:space="preserve"> (P.J.Lang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praemorsa</w:t>
      </w:r>
      <w:proofErr w:type="spellEnd"/>
      <w:r>
        <w:t xml:space="preserve"> P.Lang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praemorsa</w:t>
      </w:r>
      <w:r>
        <w:t xml:space="preserve"> P.Lang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