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brunioides</w:t>
      </w:r>
      <w:proofErr w:type="spellEnd"/>
      <w:r>
        <w:t xml:space="preserve"> A.Cunn. ex G.Don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4(2):74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brunioides subsp. gordonii Tindale.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A.Cunn. ex G.Don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brunioides</w:t>
      </w:r>
      <w:r w:rsidR="00041308">
        <w:t xml:space="preserve"> subsp.</w:t>
      </w:r>
      <w:r w:rsidR="00041308" w:rsidRPr="00815E7D">
        <w:rPr>
          <w:i/>
        </w:rPr>
        <w:t xml:space="preserve"> bruinodes</w:t>
      </w:r>
      <w:r>
        <w:t xml:space="preserve"> (A.Cunn. ex G.Don)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bruinodes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brunioides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brunioides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R. brunioides subsp. graniticum (Pedley) Pedley, Austrobaileya 2: 346 (1987).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subsp.</w:t>
      </w:r>
      <w:r w:rsidRPr="00815E7D">
        <w:rPr>
          <w:i/>
        </w:rPr>
        <w:t xml:space="preserve"> brunioides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