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purpureopetala</w:t>
      </w:r>
      <w:r>
        <w:t xml:space="preserve"> F.M.Bailey</w:t>
      </w:r>
      <w:r w:rsidR="00780DEE" w:rsidRPr="00780DEE">
        <w:rPr>
          <w:i/>
        </w:rPr>
        <w:t xml:space="preserve"> Queensland Agric. J.</w:t>
      </w:r>
      <w:proofErr w:type="spellStart"/>
      <w:r w:rsidR="00780DEE">
        <w:t xml:space="preserve"> 15:780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Herberton, Qld, J. Stirling 214 (BRI); isotypes: K, NSW</w:t>
      </w:r>
      <w:proofErr w:type="spellEnd"/>
      <w:r w:rsidRPr="009A6983">
        <w:rPr>
          <w:b/>
        </w:rPr>
        <w:t xml:space="preserve"> Source:</w:t>
      </w:r>
      <w:r>
        <w:t xml:space="preserve"> Fl. Australia 11A: 449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'purpureapetala'.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purpureopetalum</w:t>
      </w:r>
      <w:r>
        <w:t xml:space="preserve"> (F.M.Bailey)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purpureopetalum</w:t>
      </w:r>
      <w:r>
        <w:t xml:space="preserve"> (F.M.Bailey)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449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purpureopetala</w:t>
      </w:r>
      <w:proofErr w:type="spellEnd"/>
      <w:r>
        <w:t xml:space="preserve"> F.M.Bailey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purpureopetala</w:t>
      </w:r>
      <w:r>
        <w:t xml:space="preserve"> F.M.Bailey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