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2:442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Webb et al. 2021: 122): Cultivated, [Berlin] Botanic Garden, Schumann (MEL 39790)</w:t>
      </w:r>
      <w:proofErr w:type="spellEnd"/>
      <w:r w:rsidRPr="009A6983">
        <w:rPr>
          <w:b/>
        </w:rPr>
        <w:t xml:space="preserve"> Source:</w:t>
      </w:r>
      <w:r>
        <w:t xml:space="preserve"> Webb et al. 2021: 122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Webb et al. (2021: 122-123): "The type specimen (MEL39790) is here designated as a lectotype, due to the lack of a cited  holotype in the protologue and the apparent lack of a specimen at the Botanic Museum Berlin-Dahlem (B), 
likely resulting from the massive loss of types at B as a consequence of bombing in the Second World War (e.g. Hiepko 1987). No specimens at other herbaria where Link typically lodged his specimens (e.g. BR, C, FI, H, LIV, P, PH, W; Stafleu &amp; Cowan 1981) were found on the Global Plants website (https://plants.jstor.org/). The label on MEL39790 identifies it as part of the type that was at B, thus, its designation originally as an isotype by Court (1972)".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South Australia,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(subsp.genistifolia, subsp.platyphylla, subsp.subsp. attenuata)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Phyllodoce genistifolia</w:t>
      </w:r>
      <w:r>
        <w:t xml:space="preserve"> (Link)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genistifolium</w:t>
      </w:r>
      <w:r>
        <w:t xml:space="preserve"> (Link)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diffusa</w:t>
      </w:r>
      <w:r>
        <w:t xml:space="preserve"> Ker Gawl.</w:t>
      </w:r>
      <w:r>
        <w:t xml:space="preserve"> (1 July 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 w:rsidR="00041308">
        <w:t xml:space="preserve"> var.</w:t>
      </w:r>
      <w:r w:rsidR="00041308" w:rsidRPr="00815E7D">
        <w:rPr>
          <w:i/>
        </w:rPr>
        <w:t xml:space="preserve"> diffusa</w:t>
      </w:r>
      <w:r>
        <w:t xml:space="preserve"> Ker Gawl.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>
        <w:t xml:space="preserve"> Lindl.</w:t>
      </w:r>
      <w:r>
        <w:t xml:space="preserve"> (1822)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daviesiafolia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daviesioides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prostrata</w:t>
      </w:r>
      <w:r>
        <w:t xml:space="preserve"> G.Lodd.</w:t>
      </w:r>
      <w:r>
        <w:t xml:space="preserve"> (Aug. 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cuspidata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 w:rsidR="00041308">
        <w:t xml:space="preserve"> var.</w:t>
      </w:r>
      <w:r w:rsidR="00041308" w:rsidRPr="00815E7D">
        <w:rPr>
          <w:i/>
        </w:rPr>
        <w:t xml:space="preserve"> cuspidata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cuspidata</w:t>
      </w:r>
      <w:r w:rsidR="00041308">
        <w:t xml:space="preserve"> var.</w:t>
      </w:r>
      <w:r w:rsidR="00041308" w:rsidRPr="00815E7D">
        <w:rPr>
          <w:i/>
        </w:rPr>
        <w:t xml:space="preserve"> cuspidata</w:t>
      </w:r>
      <w:r>
        <w:t xml:space="preserve"> A.Cunn. ex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cuspidata</w:t>
      </w:r>
      <w:r w:rsidR="00041308">
        <w:t xml:space="preserve"> var.</w:t>
      </w:r>
      <w:r w:rsidR="00041308" w:rsidRPr="00815E7D">
        <w:rPr>
          <w:i/>
        </w:rPr>
        <w:t xml:space="preserve"> longifolia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trinervata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genistifolia</w:t>
      </w:r>
      <w:r>
        <w:t xml:space="preserve"> (Link)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'genistaefolia'.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genistifolium</w:t>
      </w:r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r>
        <w:t xml:space="preserve"> Ker Gawl.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 July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"Said to be native of the newly discovered territory on the inland side of the Blue Mountains in New South Wales; and now first introduced by Messrs. Colvill, of the Chelsea Nursery, King’s Road"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Index Kewensis wrongly attributes this description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diffusa</w:t>
      </w:r>
      <w:proofErr w:type="spellEnd"/>
      <w:r>
        <w:t xml:space="preserve"> Ker Gawl.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diffusa var. cuspidata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author of the name is Ker Gawl. Index Kewensis wrongly attributes the name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daviesiafolia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Census (2014) gives this as a doubtful synonym of Acacia genistifolia Link.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daviesioides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prostrata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7:</w:t>
      </w:r>
      <w:proofErr w:type="spellEnd"/>
      <w:r w:rsidR="00780DEE">
        <w:t xml:space="preserve"> (Aug.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Van Diemen's Island: we raised our plants from seeds in 1818, and they flowered two years afterwards"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Name Index (APNI) gives authors as Lodd, G.Lodd &amp; W.Lodd. however, the descriptions in the Botanical Cabinet were the work of G.Loddiges (see Taxonomic Literature ed. 2, entry 4914).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Marley’s Plain, N.S.W., Apr. 1824, A.Cunningham 46 (K). (2) Argyle County, N.S.W., C.Fraser (K). (3) Vineyard, N.S.W., C.Hügel (K). (4) SW Coast, C.Fraser (?NY)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cuspidata A.Cunn. ex Benth., nom. Illeg.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cuspidata var. longifolia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Merriman’s Creek, Vic.,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A. genistifolia which is cited in synonymy (Fl. Australia 11A: 464,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