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deficiens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36 km by road S of Queen Victoria Rock, W.A., 22 Sept. 1983, B.R. Maslin 5412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deficiens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nodiflora</w:t>
      </w:r>
      <w:r w:rsidR="00041308">
        <w:t xml:space="preserve"> var.</w:t>
      </w:r>
      <w:r w:rsidR="00041308" w:rsidRPr="00815E7D">
        <w:rPr>
          <w:i/>
        </w:rPr>
        <w:t xml:space="preserve"> ferox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nodiflora</w:t>
      </w:r>
      <w:r w:rsidR="00041308">
        <w:t xml:space="preserve"> var.</w:t>
      </w:r>
      <w:r w:rsidR="00041308" w:rsidRPr="00815E7D">
        <w:rPr>
          <w:i/>
        </w:rPr>
        <w:t xml:space="preserve"> scoparia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deficiens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deficiens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ferox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Grasspatch [Grass Patch], W.A., Nov. [1901], L. Diels 5310 (n.v.)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nodiflora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scoparia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Tammin, W.A., Oct. 1901, E. Pritzel 764 (A, G, K, M, MO, NSW, PERTH - fragment ex B), PR, Z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