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mutabilis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12(3):373-376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mutabilis subsp. angustifolia &amp; three other subspecies in Maslin, Nuytsia 12(3): 373-376 (1999).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6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mutabile</w:t>
      </w:r>
      <w:r w:rsidR="00041308">
        <w:t xml:space="preserve"> subsp.</w:t>
      </w:r>
      <w:r w:rsidR="00041308" w:rsidRPr="00815E7D">
        <w:rPr>
          <w:i/>
        </w:rPr>
        <w:t xml:space="preserve"> mutabile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mutabile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mutabilis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