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varia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1(5):459-462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varia var. affinis, var. crassinervis &amp; var. parviflora by Maslin in Nuytsia 1(5): 459-462 (1975).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varia</w:t>
      </w:r>
      <w:r>
        <w:t xml:space="preserve">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varium</w:t>
      </w:r>
      <w:r w:rsidR="00041308">
        <w:t xml:space="preserve"> var.</w:t>
      </w:r>
      <w:r w:rsidR="00041308" w:rsidRPr="00815E7D">
        <w:rPr>
          <w:i/>
        </w:rPr>
        <w:t xml:space="preserve"> varium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varium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varium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varia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varia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varia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