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aneura</w:t>
      </w:r>
      <w:proofErr w:type="spellEnd"/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aneura var. stenocarpa Benth. 1864.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South Australia,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F.Muell. ex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aneurum</w:t>
      </w:r>
      <w:r w:rsidR="00041308">
        <w:t xml:space="preserve"> var.</w:t>
      </w:r>
      <w:r w:rsidR="00041308" w:rsidRPr="00815E7D">
        <w:rPr>
          <w:i/>
        </w:rPr>
        <w:t xml:space="preserve"> aneurum</w:t>
      </w:r>
      <w:r>
        <w:t xml:space="preserve"> (F.Muell. ex Benth.)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aneurum</w:t>
      </w:r>
      <w:proofErr w:type="spellEnd"/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aneurum var. argenteum (Pedley) Pedley and many other varieties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