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psammophila</w:t>
      </w:r>
      <w:proofErr w:type="spellEnd"/>
      <w:r>
        <w:t xml:space="preserve"> (E.Pritz.)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2:213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psammophila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psammophila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leptospermoides</w:t>
      </w:r>
      <w:r w:rsidR="00041308">
        <w:t xml:space="preserve"> subsp.</w:t>
      </w:r>
      <w:r w:rsidR="00041308" w:rsidRPr="00815E7D">
        <w:rPr>
          <w:i/>
        </w:rPr>
        <w:t xml:space="preserve"> psammophilum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psammophila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r>
        <w:t xml:space="preserve"> (E.Pritz.)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2: 213, 1978): Greenough River crossing, near Mullewa, W.A., 2 July 1901, L. Diels 3294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561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leptospermoides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psammophilum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leptospermoides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psammophila</w:t>
      </w:r>
      <w:proofErr w:type="spellEnd"/>
      <w:r>
        <w:t xml:space="preserve"> (E.Pritz.)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psammophila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