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pringlei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californica</w:t>
      </w:r>
      <w:proofErr w:type="spellEnd"/>
      <w:r>
        <w:t xml:space="preserve"> (Brandegee) Y.S.Lee, Seigler &amp; Ebinger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14:99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californica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(Brandegee)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californica</w:t>
      </w:r>
      <w:r>
        <w:t xml:space="preserve"> Brandegee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