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huarango</w:t>
      </w:r>
      <w:r>
        <w:t xml:space="preserve"> Ruiz ex J.Macbr.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8:90</w:t>
      </w:r>
      <w:proofErr w:type="spellEnd"/>
      <w:r w:rsidR="00780DEE">
        <w:t xml:space="preserve"> (1930)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144)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r>
        <w:t xml:space="preserve"> (Ruiz ex J.Macbr.)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Macbride 1943): Peru. Huanuco. near Huánuco, low spreading shrub, Ruíz &amp; Pavón s.n. (F)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