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anegadensis</w:t>
      </w:r>
      <w:r>
        <w:t xml:space="preserve"> Britton</w:t>
      </w:r>
      <w:r w:rsidR="00780DEE" w:rsidRPr="00780DEE">
        <w:rPr>
          <w:i/>
        </w:rPr>
        <w:t xml:space="preserve"> Mem. New York Bot. Gard.</w:t>
      </w:r>
      <w:proofErr w:type="spellStart"/>
      <w:r w:rsidR="00780DEE">
        <w:t xml:space="preserve"> 6:572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88)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anegadensis</w:t>
      </w:r>
      <w:proofErr w:type="spellEnd"/>
      <w:r>
        <w:t xml:space="preserve"> (Britton)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British Virgin Islands. Anegada: rocky plains, The Settlement, 19–20 Feb. 1913, N.L. Britton &amp; W.C. Fishlock 990 (NY); isotypes: F,, GH, NY, US)</w:t>
      </w:r>
      <w:proofErr w:type="spellEnd"/>
      <w:r w:rsidRPr="009A6983">
        <w:rPr>
          <w:b/>
        </w:rPr>
        <w:t xml:space="preserve"> Source:</w:t>
      </w:r>
      <w:r>
        <w:t xml:space="preserve"> Clarke et al. (2009: 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