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lutea</w:t>
      </w:r>
      <w:proofErr w:type="spellEnd"/>
      <w:r>
        <w:t xml:space="preserve"> (Mill.) Britton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(Humb. &amp; Bonpl. ex Willd.)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A. lutea var. aroma &amp; var. moniliformis by Kuntze in Revis. Gen. Pl. 3(2): 47 (1898).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