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tequilana</w:t>
      </w:r>
      <w:r>
        <w:t xml:space="preserve"> S.Watson</w:t>
      </w:r>
      <w:r w:rsidR="00780DEE" w:rsidRPr="00780DEE">
        <w:rPr>
          <w:i/>
        </w:rPr>
        <w:t xml:space="preserve"> Proc. Amer. Acad. Arts</w:t>
      </w:r>
      <w:proofErr w:type="spellStart"/>
      <w:r w:rsidR="00780DEE">
        <w:t xml:space="preserve"> 23:409</w:t>
      </w:r>
      <w:proofErr w:type="spellEnd"/>
      <w:r w:rsidR="00780DEE">
        <w:t xml:space="preserve"> (1887)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Rico Arce &amp;amp; Bachman (2006: 231)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tequilana</w:t>
      </w:r>
      <w:proofErr w:type="spellEnd"/>
      <w:r>
        <w:t xml:space="preserve"> (S.Watson)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Rico Arce &amp; Bachman 2006): Mexico Jalisco, Tequila, E. Palmer 539 (GH); isolectotypes: BM, K, NY, US</w:t>
      </w:r>
      <w:proofErr w:type="spellEnd"/>
      <w:r w:rsidRPr="009A6983">
        <w:rPr>
          <w:b/>
        </w:rPr>
        <w:t xml:space="preserve"> Source:</w:t>
      </w:r>
      <w:r>
        <w:t xml:space="preserve"> Rico Arce &amp; Bachman 2006: 231)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