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berlandieri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berlandieri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(2006): Mexico. Nuevo Leon. Monterrey, Jan. 1828, M. Berlandier 1392 (OXF, MEXU - photo); isolectotypes G, GH, P. Remaining syntype: Texas, Berlandier s.n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Seigler et al. (2006: 50) for discussion of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