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pseudowightii</w:t>
      </w:r>
      <w:r>
        <w:t xml:space="preserve"> (Thoth.) Kottaim.</w:t>
      </w:r>
      <w:r w:rsidR="00780DEE" w:rsidRPr="00780DEE">
        <w:rPr>
          <w:i/>
        </w:rPr>
        <w:t xml:space="preserve"> Int. J. Curr. Res. Biosci. Plant Biol.</w:t>
      </w:r>
      <w:proofErr w:type="spellStart"/>
      <w:r w:rsidR="00780DEE">
        <w:t xml:space="preserve"> 6(3):38</w:t>
      </w:r>
      <w:proofErr w:type="spellEnd"/>
      <w:r w:rsidR="00780DEE">
        <w:t xml:space="preserve"> (6 March 2019)</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The Kottaimuthu (March 2019) paper containing the combination Vachellia pseudowightii was accepted and published by the unrefereed online journal, International Journal of Current Research in Biosciences and Plant Biology, on 10 Feb. 2019. This date was three months after the Deshpande et al. (2019) was first accepted online by Nordic Journal of Botany but which was not effectively published under the provisions of the Shenzen Code until 29 April 2019 because that was the Version of Record date. (B.R. Maslin).</w:t>
      </w:r>
    </w:p>
    <w:p w:rsidR="009A6983" w:rsidRPr="009A6983" w:rsidRDefault="009A6983">
      <w:r>
        <w:rPr>
          <w:b/>
        </w:rPr>
        <w:t>Distribution:</w:t>
      </w:r>
      <w:r>
        <w:t xml:space="preserve"> INDIAN SUBCONTINENT [N]: India (Tamil Nadu), Sri Lanka</w:t>
      </w:r>
    </w:p>
    <w:p w:rsidR="00F52DD3" w:rsidRDefault="00F52DD3">
      <w:r>
        <w:rPr>
          <w:b/>
        </w:rPr>
        <w:t>Based On:</w:t>
      </w:r>
      <w:r>
        <w:rPr>
          <w:i/>
        </w:rPr>
        <w:t xml:space="preserve"> Acacia pseudowightii</w:t>
      </w:r>
      <w:r>
        <w:t xml:space="preserve"> Thoth.</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