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fusicarpa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71:91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painteri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replacement name in Acacia where the epithet painteri was already used for the taxon which is now Acaciella painteri.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painteri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