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catharinensis</w:t>
      </w:r>
      <w:r>
        <w:t xml:space="preserve"> Burkart</w:t>
      </w:r>
      <w:r w:rsidR="00780DEE" w:rsidRPr="00780DEE">
        <w:rPr>
          <w:i/>
        </w:rPr>
        <w:t xml:space="preserve"> in O.M.Barth &amp; Yoneshigue, Mem. Inst. Oswaldo Cruz</w:t>
      </w:r>
      <w:proofErr w:type="spellStart"/>
      <w:r w:rsidR="00780DEE">
        <w:t xml:space="preserve"> 64:96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catharinensis</w:t>
      </w:r>
      <w:proofErr w:type="spellEnd"/>
      <w:r>
        <w:t xml:space="preserve"> (Burkart)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Santa Catrina. Pilões, Palhoça, Santo Amaro da Imperatriz, mata, 400 m, flor branca, 11 Jan. 1957, R.M. Klein 2172 (SI); isotypes: B, HBR. NOTE: See Burkart (1979) for discussion of the type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