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awestonianum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Australian Plant Census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Racosperma awestonii, however this is a correctable error, so the combination is made in this publication (i.e. Pedley 2003).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awestoniana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