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ibirocayensis</w:t>
      </w:r>
      <w:r>
        <w:t xml:space="preserve"> (Marchiori) Deble &amp; Marchiori</w:t>
      </w:r>
      <w:r w:rsidR="00780DEE" w:rsidRPr="00780DEE">
        <w:rPr>
          <w:i/>
        </w:rPr>
        <w:t xml:space="preserve"> Balduinia</w:t>
      </w:r>
      <w:proofErr w:type="spellStart"/>
      <w:r w:rsidR="00780DEE">
        <w:t xml:space="preserve"> 20:31</w:t>
      </w:r>
      <w:proofErr w:type="spellEnd"/>
      <w:r w:rsidR="00780DEE">
        <w:t xml:space="preserve"> (2010 [as '2009'])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r>
        <w:t xml:space="preserve"> (Molina)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Morim &amp; Barros (2015) recognize this as a distinct species whereas Seigler &amp; Ebinger (pers. comm.) regard it as conspecific with Vachellia caven.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ibirocayensis</w:t>
      </w:r>
      <w:r>
        <w:t xml:space="preserve"> Marchiori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