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capensis</w:t>
      </w:r>
      <w:r>
        <w:t xml:space="preserve"> Burm.f.</w:t>
      </w:r>
      <w:r w:rsidR="00780DEE" w:rsidRPr="00780DEE">
        <w:rPr>
          <w:i/>
        </w:rPr>
        <w:t xml:space="preserve"> Fl. Indica</w:t>
      </w:r>
      <w:proofErr w:type="spellStart"/>
      <w:r w:rsidR="00780DEE">
        <w:t xml:space="preserve"> :31 [sphalm. 27]</w:t>
      </w:r>
      <w:proofErr w:type="spellEnd"/>
      <w:r w:rsidR="00780DEE">
        <w:t xml:space="preserve"> (1768)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rejec.   Source. Verdoorn in Bothalia 6: 411 (1954); Ross (1975A: 445)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Based on a figure published by Plukenet in his Phytographia, tab. 123, fig. 2 (1692)</w:t>
      </w:r>
      <w:proofErr w:type="spellEnd"/>
      <w:r w:rsidRPr="009A6983">
        <w:rPr>
          <w:b/>
        </w:rPr>
        <w:t xml:space="preserve"> Source:</w:t>
      </w:r>
      <w:r>
        <w:t xml:space="preserve"> Ross (1975D: 445)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See discussion in Ross (1975A: 445) concerning this name.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