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horrida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horrida</w:t>
      </w:r>
      <w:proofErr w:type="spellEnd"/>
      <w:r>
        <w:t xml:space="preserve"> (L.)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horrida subsp. benadirensis (Chiov.)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SUBCONTINENT: India (Andhra Pradesh [N], Goa [U], Delhi [N], Gujarat [N], Karnataka [N], Kerala [N], Maharashtra [N], Odisha [N], Rajasthan [N], Tamil Nadu [N]). SOUTHEAST ASIA [U]: Myanmar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horrida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horrida</w:t>
      </w:r>
      <w:r w:rsidR="00041308">
        <w:t xml:space="preserve"> subsp.</w:t>
      </w:r>
      <w:r w:rsidR="00041308" w:rsidRPr="00815E7D">
        <w:rPr>
          <w:i/>
        </w:rPr>
        <w:t xml:space="preserve"> horrida</w:t>
      </w:r>
      <w:r>
        <w:t xml:space="preserve"> (L.) Willd.</w:t>
      </w:r>
      <w:r>
        <w:t xml:space="preserve"> (1916)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horrida</w:t>
      </w:r>
      <w:proofErr w:type="spellEnd"/>
      <w:r>
        <w:t xml:space="preserve"> (L.) Willd.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horrida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horrida subsp. benadirensis Chiov.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horrida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