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(A.Schreib.)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Namibia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hebeclada</w:t>
      </w:r>
      <w:r>
        <w:t xml:space="preserve"> subsp.</w:t>
      </w:r>
      <w:r w:rsidRPr="00815E7D">
        <w:rPr>
          <w:i/>
        </w:rPr>
        <w:t xml:space="preserve"> tristis</w:t>
      </w:r>
      <w:r>
        <w:t xml:space="preserve"> A.Schreib.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 w:rsidR="00041308">
        <w:t xml:space="preserve"> subsp.</w:t>
      </w:r>
      <w:r w:rsidR="00041308" w:rsidRPr="00815E7D">
        <w:rPr>
          <w:i/>
        </w:rPr>
        <w:t xml:space="preserve"> tristis</w:t>
      </w:r>
      <w:r>
        <w:t xml:space="preserve"> A.Schreib.</w:t>
      </w:r>
      <w:r>
        <w:t xml:space="preserve"> (1966)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tristis</w:t>
      </w:r>
      <w:r>
        <w:t xml:space="preserve"> Welw. ex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>
        <w:t xml:space="preserve"> sens. Harms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stolonifera</w:t>
      </w:r>
      <w:r w:rsidR="00041308">
        <w:t xml:space="preserve"> subsp.</w:t>
      </w:r>
      <w:r w:rsidR="00041308" w:rsidRPr="00815E7D">
        <w:rPr>
          <w:i/>
        </w:rPr>
        <w:t xml:space="preserve"> tristis</w:t>
      </w:r>
      <w:r>
        <w:t xml:space="preserve"> A.Schreib.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A.Schreib.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tristis</w:t>
      </w:r>
      <w:proofErr w:type="spellEnd"/>
      <w:r>
        <w:t xml:space="preserve"> (A.Schreib.)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between Lopolo e Ferrão da Sola, Welwitsch 1829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tristis</w:t>
      </w:r>
      <w:r>
        <w:t xml:space="preserve"> Welw. ex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between Lopolo e Ferrão da Sola, Welwitsch 1829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(1835).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:243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(A.Schreib.)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A.Schreib.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tristis</w:t>
      </w:r>
      <w:proofErr w:type="spellEnd"/>
      <w:r>
        <w:t xml:space="preserve"> (A.Schreib.)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 the International Plant Name Index (IPNI). The correct name is Acacia hebeclada subsp. tristis.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