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platycarpa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etbaica</w:t>
      </w:r>
      <w:r>
        <w:t xml:space="preserve"> subsp.</w:t>
      </w:r>
      <w:r w:rsidRPr="00815E7D">
        <w:rPr>
          <w:i/>
        </w:rPr>
        <w:t xml:space="preserve"> platycarpa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 w:rsidR="00041308">
        <w:t xml:space="preserve"> subsp.</w:t>
      </w:r>
      <w:r w:rsidR="00041308" w:rsidRPr="00815E7D">
        <w:rPr>
          <w:i/>
        </w:rPr>
        <w:t xml:space="preserve"> platycarpa</w:t>
      </w:r>
      <w:r>
        <w:t xml:space="preserve">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holstii</w:t>
      </w:r>
      <w:r>
        <w:t xml:space="preserve"> Taub.</w:t>
      </w:r>
      <w:r>
        <w:t xml:space="preserve"> (1895)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platycarpa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12:93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platycarpa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Moyale, Gillett 13641 (K); isotypes: BM, EA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holstii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115)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District, Mashewa, Holst 8744 (B, BM -drawing!); isotypes: K, Z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legumina tantum (Ross 1979: 115).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