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dyeri</w:t>
      </w:r>
      <w:r>
        <w:t xml:space="preserve"> (P.P.Sw.)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172:512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South Africa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dyeri</w:t>
      </w:r>
      <w:r>
        <w:t xml:space="preserve"> P.P.Sw.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dyeri</w:t>
      </w:r>
      <w:r>
        <w:t xml:space="preserve"> P.P.Sw.</w:t>
      </w:r>
      <w:r>
        <w:t xml:space="preserve"> (2002)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dyeri</w:t>
      </w:r>
      <w:r>
        <w:t xml:space="preserve"> P.P.Sw.</w:t>
      </w:r>
      <w:r w:rsidR="00780DEE" w:rsidRPr="00780DEE">
        <w:rPr>
          <w:i/>
        </w:rPr>
        <w:t xml:space="preserve"> Trees of southern Africa</w:t>
      </w:r>
      <w:proofErr w:type="spellStart"/>
      <w:r w:rsidR="00780DEE">
        <w:t xml:space="preserve"> :19</w:t>
      </w:r>
      <w:proofErr w:type="spellEnd"/>
      <w:r w:rsidR="00780DEE">
        <w:t xml:space="preserve"> (2002)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dyeri</w:t>
      </w:r>
      <w:proofErr w:type="spellEnd"/>
      <w:r>
        <w:t xml:space="preserve"> (P.P.Sw.)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Eastern Cape, Butterworth District, Kei Mouth, Robbertse 871 (PRE); isotype: PRU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