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polyacantha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Benin [N], Botswana [N], Burundi [N], Cameroon [N], Central African Republic [N], Democratic Republic of Congo [N], Egypt [Or], Ethiopia [N], Gambia The [N], Ghana [N], Ivory Coast [N], Kenya [N], Malawi [N], Mali [N], Mozambique [N], Niger [N], Nigeria [N], Rwanda [N], Senegal [N], South Africa [N], Sudan [N], Tanzania [N], Togo [N], Uganda [N], Zambia [N], Zimbabwe [N]. SOUTH AMERICA [C]: Peru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campylacantha</w:t>
      </w:r>
      <w:r>
        <w:t xml:space="preserve"> Hochst. ex A.Rich.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polyacantha</w:t>
      </w:r>
      <w:r w:rsidR="00041308">
        <w:t xml:space="preserve"> subsp.</w:t>
      </w:r>
      <w:r w:rsidR="00041308" w:rsidRPr="00815E7D">
        <w:rPr>
          <w:i/>
        </w:rPr>
        <w:t xml:space="preserve"> campylacantha</w:t>
      </w:r>
      <w:r>
        <w:t xml:space="preserve"> (Hochst. ex A.Rich.) Brenan</w:t>
      </w:r>
      <w:r>
        <w:t xml:space="preserve"> (1956)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catechu</w:t>
      </w:r>
      <w:r w:rsidR="00041308">
        <w:t xml:space="preserve"> var.</w:t>
      </w:r>
      <w:r w:rsidR="00041308" w:rsidRPr="00815E7D">
        <w:rPr>
          <w:i/>
        </w:rPr>
        <w:t xml:space="preserve"> campylacantha</w:t>
      </w:r>
      <w:r>
        <w:t xml:space="preserve"> (Hochst. ex A.Rich.)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campylacantha</w:t>
      </w:r>
      <w:r>
        <w:t xml:space="preserve"> (Hochst. ex A.Rich.) Aubrév.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erythrantha</w:t>
      </w:r>
      <w:r>
        <w:t xml:space="preserve"> Steud. ex A.Rich.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catechu</w:t>
      </w:r>
      <w:r w:rsidR="00041308">
        <w:t xml:space="preserve"> var.</w:t>
      </w:r>
      <w:r w:rsidR="00041308" w:rsidRPr="00815E7D">
        <w:rPr>
          <w:i/>
        </w:rPr>
        <w:t xml:space="preserve"> erythrantha</w:t>
      </w:r>
      <w:r>
        <w:t xml:space="preserve"> (Steud. ex A.Rich.)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catechu</w:t>
      </w:r>
      <w:r>
        <w:t xml:space="preserve"> sens. Schweinf.</w:t>
      </w:r>
      <w:r>
        <w:t xml:space="preserve"> (1867-8)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suma</w:t>
      </w:r>
      <w:r>
        <w:t xml:space="preserve"> sens.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ataxacantha</w:t>
      </w:r>
      <w:r>
        <w:t xml:space="preserve"> sens. Micheli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pallens</w:t>
      </w:r>
      <w:r>
        <w:t xml:space="preserve"> sens. Steedman</w:t>
      </w:r>
      <w:r>
        <w:t xml:space="preserve"> (1933)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sens. Baker f.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campylacantha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Mai Dogale, Schimper 639 (BM, E, FI, K, OXF, P, Z). (2) Dscheladscheranne, Schimper 893 (BM, E, FI, K, OXF, P, Z)</w:t>
      </w:r>
      <w:proofErr w:type="spellEnd"/>
      <w:r w:rsidRPr="009A6983">
        <w:rPr>
          <w:b/>
        </w:rPr>
        <w:t xml:space="preserve"> Source:</w:t>
      </w:r>
      <w:r>
        <w:t xml:space="preserve"> Ross (1979: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polyacantha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catechu subsp. suma var. campylacantha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:272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erythrantha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Derragousel, Schimper 1120 (P); isotypes: BM!, E, FI, K, OXF, Z)</w:t>
      </w:r>
      <w:proofErr w:type="spellEnd"/>
      <w:r w:rsidRPr="009A6983">
        <w:rPr>
          <w:b/>
        </w:rPr>
        <w:t xml:space="preserve"> Source:</w:t>
      </w:r>
      <w:r>
        <w:t xml:space="preserve"> Ross (1979: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erythrantha</w:t>
      </w:r>
      <w:proofErr w:type="spellEnd"/>
      <w:r>
        <w:t xml:space="preserve"> (Steud.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:158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for this name is: Acacia catechu subsp. suma var. erythrantha (Steud.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erythrantha</w:t>
      </w:r>
      <w:r>
        <w:t xml:space="preserve"> Steud.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r>
        <w:t xml:space="preserve"> sens.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35:363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quoad specim. Angol (Ross 1979: 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</w:t>
      </w:r>
      <w:r>
        <w:t xml:space="preserve"> sens.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30:519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ataxacantha</w:t>
      </w:r>
      <w:r>
        <w:t xml:space="preserve"> sens. Micheli</w:t>
      </w:r>
      <w:r w:rsidR="00780DEE" w:rsidRPr="00780DEE">
        <w:rPr>
          <w:i/>
        </w:rPr>
        <w:t xml:space="preserve"> Bull. Soc. Roy. Bot. Belgique</w:t>
      </w:r>
      <w:proofErr w:type="spellStart"/>
      <w:r w:rsidR="00780DEE">
        <w:t xml:space="preserve"> 37:54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pallens</w:t>
      </w:r>
      <w:r>
        <w:t xml:space="preserve"> sens. Steedman</w:t>
      </w:r>
      <w:r w:rsidR="00780DEE" w:rsidRPr="00780DEE">
        <w:rPr>
          <w:i/>
        </w:rPr>
        <w:t xml:space="preserve"> Descr. Trees S. Rhodesia</w:t>
      </w:r>
      <w:proofErr w:type="spellStart"/>
      <w:r w:rsidR="00780DEE">
        <w:t xml:space="preserve"> 14: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specimen Swynnerton 61 (Ross 1979: 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