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indochinensis</w:t>
      </w:r>
      <w:proofErr w:type="spellEnd"/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EAST ASIA [N]: China (Hainan). SOUTHEAST ASIA: Cambodia [U], Indonesia [U] (Java), Laos [N], Malaysia [U] (Peninsular Malaysia), Myanmar [N], Thailand [N], Vietnam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megaladena</w:t>
      </w:r>
      <w:r>
        <w:t xml:space="preserve"> var.</w:t>
      </w:r>
      <w:r w:rsidRPr="00815E7D">
        <w:rPr>
          <w:i/>
        </w:rPr>
        <w:t xml:space="preserve"> indochinensis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megaladena</w:t>
      </w:r>
      <w:r w:rsidR="00041308">
        <w:t xml:space="preserve"> var.</w:t>
      </w:r>
      <w:r w:rsidR="00041308" w:rsidRPr="00815E7D">
        <w:rPr>
          <w:i/>
        </w:rPr>
        <w:t xml:space="preserve"> indochinensis</w:t>
      </w:r>
      <w:r>
        <w:t xml:space="preserve"> I.C.Nielsen</w:t>
      </w:r>
      <w:r>
        <w:t xml:space="preserve"> (1980)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var.</w:t>
      </w:r>
      <w:r w:rsidR="00041308" w:rsidRPr="00815E7D">
        <w:rPr>
          <w:i/>
        </w:rPr>
        <w:t xml:space="preserve"> arrophula</w:t>
      </w:r>
      <w:r>
        <w:t xml:space="preserve"> sens. Craib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var.</w:t>
      </w:r>
      <w:r>
        <w:t xml:space="preserve"> sens. Craib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indochinensis</w:t>
      </w:r>
      <w:proofErr w:type="spellEnd"/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415);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indochinensis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Larsen, Smitinand &amp; Warncke 375, Thailand, S.E., Prachin Buri; Khao Yai National Park, alt. 750 m (holo-, AAU)."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Thailand, Prachinburi [Thai: Prachin Buri], Khao Yai National Park, alt. 750 m, 13 July 1966, K. Larsen, T. Smitinand &amp; E. Warncke 375 (AAU); isotype: BKF 54811 [barcode SN036634]</w:t>
      </w:r>
      <w:proofErr w:type="spellEnd"/>
      <w:r w:rsidRPr="009A6983">
        <w:rPr>
          <w:b/>
        </w:rPr>
        <w:t xml:space="preserve"> Source:</w:t>
      </w:r>
      <w:r>
        <w:t xml:space="preserve"> Maslin et al. (2019: 415)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arrophula</w:t>
      </w:r>
      <w:proofErr w:type="spellEnd"/>
      <w:r>
        <w:t xml:space="preserve"> sens.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1:550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415); Nielsen (1980: 351)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indochinensis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fide Nielsen (1980: 351).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</w:t>
      </w:r>
      <w:proofErr w:type="spellEnd"/>
      <w:r>
        <w:t xml:space="preserve"> sens.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1:551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415); Nielsen (1981 &amp;amp; 1985)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var.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