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kekapur</w:t>
      </w:r>
      <w:r>
        <w:t xml:space="preserve"> (I.C.Nielsen)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Nielsen (1985a) noted that plants from NE Sumatra and Singapore may be taxonomically different from Acacia (Senegalia) kekapur sens. typ. from Java and southern Sumatra; this matter is currently under investigation (fide Maslin 2015: 244).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Indonesia (Sumatra, Java), Singapore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kekapur</w:t>
      </w:r>
      <w:r>
        <w:t xml:space="preserve"> I.C.Nielsen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kekapur</w:t>
      </w:r>
      <w:r>
        <w:t xml:space="preserve"> I.C.Nielsen</w:t>
      </w:r>
      <w:r>
        <w:t xml:space="preserve"> (1985)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pseudointsia</w:t>
      </w:r>
      <w:r>
        <w:t xml:space="preserve"> sens. Ridl.</w:t>
      </w:r>
      <w:r>
        <w:t xml:space="preserve"> (1927)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pseudointsia</w:t>
      </w:r>
      <w:r>
        <w:t xml:space="preserve"> sens. Prain</w:t>
      </w:r>
      <w:r>
        <w:t xml:space="preserve"> (1897)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kekapur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81:13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kekapur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"Winckel 437B. Java, Preanger: S of Tjibeber, Tjadas Malang, ± 1000 m, 20 Oct 1919 (fl .) (L holotype, BO isotype)."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Maslin et al. (2013: 40) erroneously cited the holotype as Winckel 438B.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pseudointsia</w:t>
      </w:r>
      <w:r>
        <w:t xml:space="preserve"> sens. Ridl.</w:t>
      </w:r>
      <w:r w:rsidR="00780DEE" w:rsidRPr="00780DEE">
        <w:rPr>
          <w:i/>
        </w:rPr>
        <w:t xml:space="preserve"> Fl. Malay Penin.</w:t>
      </w:r>
      <w:proofErr w:type="spellStart"/>
      <w:r w:rsidR="00780DEE">
        <w:t xml:space="preserve"> 1:657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kekapur</w:t>
      </w:r>
      <w:proofErr w:type="spellEnd"/>
      <w:r>
        <w:t xml:space="preserve"> (I.C.Nielsen)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Singapore specimens cited.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pseudointsia</w:t>
      </w:r>
      <w:r>
        <w:t xml:space="preserve"> sens. Prain</w:t>
      </w:r>
      <w:r w:rsidR="00780DEE" w:rsidRPr="00780DEE">
        <w:rPr>
          <w:i/>
        </w:rPr>
        <w:t xml:space="preserve"> J. Asiat. Soc Bengal, Pt. 2, Nat. Hist.</w:t>
      </w:r>
      <w:proofErr w:type="spellStart"/>
      <w:r w:rsidR="00780DEE">
        <w:t xml:space="preserve"> 66(2):511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kekapur</w:t>
      </w:r>
      <w:proofErr w:type="spellEnd"/>
      <w:r>
        <w:t xml:space="preserve"> (I.C.Nielsen)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Ridley 3631.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