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guarensis</w:t>
      </w:r>
      <w:r>
        <w:t xml:space="preserve"> (L.Cárdenas &amp; Fern.-García)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91(1):27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entity is known only from its type, the identity of which is uncertain; however, it does not appear to be a species of Acacia sens. lat. (D. Seigler, pers. comm. 2015).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guarensis</w:t>
      </w:r>
      <w:r>
        <w:t xml:space="preserve"> L.Cárdenas &amp; Fern.-García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