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macracantha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glabrescens</w:t>
      </w:r>
      <w:proofErr w:type="spellEnd"/>
      <w:r>
        <w:t xml:space="preserve"> Griseb.</w:t>
      </w:r>
      <w:r w:rsidR="00780DEE" w:rsidRPr="00780DEE">
        <w:rPr>
          <w:i/>
        </w:rPr>
        <w:t xml:space="preserve"> Fl. Brit. W. I.</w:t>
      </w:r>
      <w:proofErr w:type="spellStart"/>
      <w:r w:rsidR="00780DEE">
        <w:t xml:space="preserve"> :222</w:t>
      </w:r>
      <w:proofErr w:type="spellEnd"/>
      <w:r w:rsidR="00780DEE">
        <w:t xml:space="preserve"> (1860)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(Humb. &amp; Bonpl. ex Willd.)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Jamaica. in dry plains, Mar, J. Macfadyen s.n. (K)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