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farnesiana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guanacastensis</w:t>
      </w:r>
      <w:proofErr w:type="spellEnd"/>
      <w:r>
        <w:t xml:space="preserve"> H.D.Clarke, Seigler &amp; Ebinger</w:t>
      </w:r>
      <w:r w:rsidR="00780DEE" w:rsidRPr="00780DEE">
        <w:rPr>
          <w:i/>
        </w:rPr>
        <w:t xml:space="preserve"> Syst. Bot.</w:t>
      </w:r>
      <w:proofErr w:type="spellStart"/>
      <w:r w:rsidR="00780DEE">
        <w:t xml:space="preserve"> 14:562</w:t>
      </w:r>
      <w:proofErr w:type="spellEnd"/>
      <w:r w:rsidR="00780DEE">
        <w:t xml:space="preserve"> (1989)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(2005: 159)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guanacastensis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(H.D.Clarke, Seigler &amp; Ebinger)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Costa Rica. Guanacaste. Great Swamp, Comelco, near Bagaces, 11 May 1976, D.H. Janzen 10362 (MO); isotype: ILL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159)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