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yucatanensis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12:361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and Ebinger (1995: 123): Mexico. Yucatan, 1895, G.F. Gaumer 353 (US, B - destroyed); isotypes: BM, GH, F, MO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