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lutea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aroma</w:t>
      </w:r>
      <w:proofErr w:type="spellEnd"/>
      <w:r>
        <w:t xml:space="preserve"> (Gillies ex Hook. &amp; Arn.) Kuntze</w:t>
      </w:r>
      <w:r w:rsidR="00780DEE" w:rsidRPr="00780DEE">
        <w:rPr>
          <w:i/>
        </w:rPr>
        <w:t xml:space="preserve"> Revis. Gen. Pl.</w:t>
      </w:r>
      <w:proofErr w:type="spellStart"/>
      <w:r w:rsidR="00780DEE">
        <w:t xml:space="preserve"> 3(2):47</w:t>
      </w:r>
      <w:proofErr w:type="spellEnd"/>
      <w:r w:rsidR="00780DEE">
        <w:t xml:space="preserve"> (1898)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&amp;amp; Ebinger (2005: 143)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aroma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(Gillies ex Hook. &amp; Arn.)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aroma</w:t>
      </w:r>
      <w:r>
        <w:t xml:space="preserve"> Gillies ex Hook. &amp; Arn.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