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leptostachya</w:t>
      </w:r>
      <w:r>
        <w:t xml:space="preserve"> sens. F.Muell.</w:t>
      </w:r>
      <w:r w:rsidR="00780DEE" w:rsidRPr="00780DEE">
        <w:rPr>
          <w:i/>
        </w:rPr>
        <w:t xml:space="preserve"> Iconogr. Austral. Acacia</w:t>
      </w:r>
      <w:proofErr w:type="spellStart"/>
      <w:r w:rsidR="00780DEE">
        <w:t xml:space="preserve"> 10:</w:t>
      </w:r>
      <w:proofErr w:type="spellEnd"/>
      <w:r w:rsidR="00780DEE">
        <w:t xml:space="preserve"> (1888)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Pedley (1964: 55)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catenulata</w:t>
      </w:r>
      <w:proofErr w:type="spellEnd"/>
      <w:r>
        <w:t xml:space="preserve"> C.T.White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