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glaucescens</w:t>
      </w:r>
      <w:r>
        <w:t xml:space="preserve"> F.Cels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1839-1840:30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&amp;amp; Whibley (1987: 23)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specimen; n.v.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