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pityoides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Suttor R., F. Mueller, fide L. Pedley, Proc. Roy. Soc. Queensland 75: 34 (1964).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