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(Gillies ex Hook. &amp; Arn.)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87(3):144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aroma var. huarango (Ruiz ex J.Macbr.) Seigler &amp; Ebinger.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Ecuador, Paraguay, Peru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aroma</w:t>
      </w:r>
      <w:r>
        <w:t xml:space="preserve"> Gillies ex Hook. &amp; Arn.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aroma</w:t>
      </w:r>
      <w:r w:rsidR="00041308">
        <w:t xml:space="preserve"> var.</w:t>
      </w:r>
      <w:r w:rsidR="00041308" w:rsidRPr="00815E7D">
        <w:rPr>
          <w:i/>
        </w:rPr>
        <w:t xml:space="preserve"> aroma</w:t>
      </w:r>
      <w:r>
        <w:t xml:space="preserve"> (Gillies ex Hook. &amp; Arn.) Seigler &amp; Ebinger</w:t>
      </w:r>
      <w:r>
        <w:t xml:space="preserve"> (1879)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(Gillies ex Hook. &amp; Arn.) Seigler &amp; Ebinger</w:t>
      </w:r>
      <w:r w:rsidR="00780DEE" w:rsidRPr="00780DEE">
        <w:rPr>
          <w:i/>
        </w:rPr>
        <w:t xml:space="preserve"> Abh. Königl. Ges. Wiss. Göttingen</w:t>
      </w:r>
      <w:proofErr w:type="spellStart"/>
      <w:r w:rsidR="00780DEE">
        <w:t xml:space="preserve"> 24:122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aroma</w:t>
      </w:r>
      <w:proofErr w:type="spellEnd"/>
      <w:r>
        <w:t xml:space="preserve"> (Gillies ex Hook. &amp; Arn.)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aroma var. cochlearis Grisb.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Vachellia aroma</w:t>
      </w:r>
      <w:r>
        <w:t xml:space="preserve"> var.</w:t>
      </w:r>
      <w:r w:rsidRPr="00815E7D">
        <w:rPr>
          <w:i/>
        </w:rPr>
        <w:t xml:space="preserve"> aroma</w:t>
      </w:r>
      <w:r>
        <w:t xml:space="preserve"> (Gillies ex Hook. &amp; Arn.)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