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curvifructa</w:t>
      </w:r>
      <w:r>
        <w:t xml:space="preserve"> Burkart</w:t>
      </w:r>
      <w:r w:rsidR="00780DEE" w:rsidRPr="00780DEE">
        <w:rPr>
          <w:i/>
        </w:rPr>
        <w:t xml:space="preserve"> Legum. Argent., ed. 2</w:t>
      </w:r>
      <w:proofErr w:type="spellStart"/>
      <w:r w:rsidR="00780DEE">
        <w:t xml:space="preserve"> :97, 541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curvifructa</w:t>
      </w:r>
      <w:proofErr w:type="spellEnd"/>
      <w:r>
        <w:t xml:space="preserve"> (Burkart)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Chaco. Puerto Casado, Dec. 1916, T. Rojas 2138 (SI)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